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/>
      </w:pPr>
      <w:r>
        <w:rPr>
          <w:rFonts w:ascii="Helvetica Neue" w:hAnsi="Helvetica Neue" w:eastAsia="Helvetica Neue"/>
          <w:b w:val="0"/>
          <w:i w:val="0"/>
          <w:color w:val="7A8490"/>
          <w:sz w:val="16"/>
        </w:rPr>
        <w:t>Data Lab  ·  August 2026</w:t>
      </w:r>
    </w:p>
    <w:p>
      <w:pPr>
        <w:spacing w:after="40" w:before="0"/>
      </w:pPr>
      <w:r>
        <w:rPr>
          <w:rFonts w:ascii="Helvetica Neue" w:hAnsi="Helvetica Neue" w:eastAsia="Helvetica Neue"/>
          <w:b/>
          <w:i w:val="0"/>
          <w:color w:val="A67C1C"/>
          <w:sz w:val="14"/>
        </w:rPr>
        <w:t>PROPOSAL</w:t>
      </w:r>
    </w:p>
    <w:p>
      <w:pPr>
        <w:spacing w:after="120" w:before="0"/>
      </w:pPr>
      <w:r>
        <w:rPr>
          <w:rFonts w:ascii="Playfair Display" w:hAnsi="Playfair Display" w:eastAsia="Playfair Display"/>
          <w:b w:val="0"/>
          <w:i w:val="0"/>
          <w:color w:val="12283F"/>
          <w:sz w:val="40"/>
        </w:rPr>
        <w:t>Where AI should keep, help, or replace human work in retail</w:t>
      </w:r>
    </w:p>
    <w:p>
      <w:pPr>
        <w:spacing w:after="200" w:before="0"/>
      </w:pPr>
      <w:r>
        <w:rPr>
          <w:rFonts w:ascii="Playfair Display" w:hAnsi="Playfair Display" w:eastAsia="Playfair Display"/>
          <w:b w:val="0"/>
          <w:i/>
          <w:color w:val="1A6B70"/>
          <w:sz w:val="21"/>
        </w:rPr>
        <w:t>A proposal: finding the use cases that matter, and the people ready to run them</w:t>
      </w:r>
    </w:p>
    <w:p>
      <w:pPr>
        <w:spacing w:after="120" w:before="0"/>
      </w:pPr>
      <w:r>
        <w:rPr>
          <w:rFonts w:ascii="Helvetica Neue" w:hAnsi="Helvetica Neue" w:eastAsia="Helvetica Neue"/>
          <w:b w:val="0"/>
          <w:i w:val="0"/>
          <w:color w:val="4C5663"/>
          <w:sz w:val="20"/>
        </w:rPr>
        <w:t>Most retailers now have a list of AI ideas and no reliable way to tell which ones will pay. Two things fix that: a method for sorting use cases by how much human judgement they should keep, and an honest read of how ready your people are to work alongside AI. This is both.</w:t>
      </w:r>
    </w:p>
    <w:p>
      <w:pPr>
        <w:spacing w:after="200" w:before="0"/>
      </w:pPr>
      <w:r>
        <w:rPr>
          <w:rFonts w:ascii="Helvetica Neue" w:hAnsi="Helvetica Neue" w:eastAsia="Helvetica Neue"/>
          <w:b w:val="0"/>
          <w:i w:val="0"/>
          <w:color w:val="4C5663"/>
          <w:sz w:val="18"/>
        </w:rPr>
        <w:t>The cost of getting this wrong is not the failed pilot. It is the two years spent on the wrong ones while a competitor quietly automates the right ones. In earlier work the same discipline cut reporting time by 90% across 56 countries and took a consolidation from three hours to three minutes — not because the tools were clever, but because the right tasks were chosen first.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 w:val="0"/>
                <w:color w:val="1A6B70"/>
                <w:sz w:val="24"/>
              </w:rPr>
              <w:t>15+ years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7A8490"/>
                <w:sz w:val="16"/>
              </w:rPr>
              <w:t>in FMCG and retail — value engineering, commercial excellence, supply chain</w:t>
            </w:r>
          </w:p>
        </w:tc>
        <w:tc>
          <w:tcPr>
            <w:tcW w:type="dxa" w:w="3400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 w:val="0"/>
                <w:color w:val="1A6B70"/>
                <w:sz w:val="24"/>
              </w:rPr>
              <w:t>Data &amp; AI consulting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7A8490"/>
                <w:sz w:val="16"/>
              </w:rPr>
              <w:t>through Data Lab: AI strategy, analytics, working tools across Europe</w:t>
            </w:r>
          </w:p>
        </w:tc>
        <w:tc>
          <w:tcPr>
            <w:tcW w:type="dxa" w:w="3400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 w:val="0"/>
                <w:color w:val="1A6B70"/>
                <w:sz w:val="24"/>
              </w:rPr>
              <w:t>Executive teaching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7A8490"/>
                <w:sz w:val="16"/>
              </w:rPr>
              <w:t>AI &amp; Strategy for Executives at SSE Riga and Hanken &amp; SSE; 3,000+ people trained</w:t>
            </w:r>
          </w:p>
        </w:tc>
      </w:tr>
    </w:tbl>
    <w:p>
      <w:pPr>
        <w:spacing w:after="80" w:before="0"/>
      </w:pPr>
      <w:r>
        <w:rPr>
          <w:rFonts w:ascii="Helvetica Neue" w:hAnsi="Helvetica Neue" w:eastAsia="Helvetica Neue"/>
          <w:b w:val="0"/>
          <w:i w:val="0"/>
          <w:color w:val="4C5663"/>
          <w:sz w:val="19"/>
        </w:rPr>
      </w:r>
    </w:p>
    <w:p>
      <w:pPr>
        <w:spacing w:after="40" w:before="0"/>
      </w:pPr>
      <w:r>
        <w:rPr>
          <w:rFonts w:ascii="Helvetica Neue" w:hAnsi="Helvetica Neue" w:eastAsia="Helvetica Neue"/>
          <w:b/>
          <w:i w:val="0"/>
          <w:color w:val="A67C1C"/>
          <w:sz w:val="14"/>
        </w:rPr>
        <w:t>WHY ME FOR RETAIL</w:t>
      </w:r>
    </w:p>
    <w:p>
      <w:pPr>
        <w:spacing w:after="200" w:before="0"/>
      </w:pPr>
      <w:r>
        <w:rPr>
          <w:rFonts w:ascii="Helvetica Neue" w:hAnsi="Helvetica Neue" w:eastAsia="Helvetica Neue"/>
          <w:b w:val="0"/>
          <w:i w:val="0"/>
          <w:color w:val="4C5663"/>
          <w:sz w:val="19"/>
        </w:rPr>
        <w:t>Before Data Lab I spent fifteen years inside Carlsberg Group, mostly on the commercial side of retail. In Norway I ran value engineering on price, promotion and assortment at Ringnes, the country's largest soft-drinks business — the three levers where FMCG margin is won or lost at the shelf. Across France, Croatia, Italy, the Baltics and Sweden I built value engineering and sales-force capability in markets with very different conditions. At head office I was the supply-chain business partner and, later, internal consultant for commercial excellence and insight from data. I know how a retailer's numbers move, because I moved them.</w:t>
      </w:r>
    </w:p>
    <w:p>
      <w:pPr>
        <w:spacing w:after="40" w:before="0"/>
      </w:pPr>
      <w:r>
        <w:rPr>
          <w:rFonts w:ascii="Helvetica Neue" w:hAnsi="Helvetica Neue" w:eastAsia="Helvetica Neue"/>
          <w:b/>
          <w:i w:val="0"/>
          <w:color w:val="A67C1C"/>
          <w:sz w:val="14"/>
        </w:rPr>
        <w:t>WHAT WE WANT TO DO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D9D6CE"/>
          <w:left w:val="single" w:sz="4" w:color="D9D6CE"/>
          <w:bottom w:val="single" w:sz="4" w:color="D9D6CE"/>
          <w:right w:val="single" w:sz="4" w:color="D9D6CE"/>
          <w:insideH w:val="single" w:sz="4" w:color="D9D6CE"/>
          <w:insideV w:val="single" w:sz="4" w:color="D9D6C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7"/>
              </w:rPr>
              <w:t>Every team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5"/>
              </w:rPr>
              <w:t>commercial · operations · supply chain · finance · customer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7"/>
              </w:rPr>
              <w:t>All candidate use cases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5"/>
              </w:rPr>
              <w:t>captured without filtering — the long list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7"/>
              </w:rPr>
              <w:t>Sorted through the matrix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5"/>
              </w:rPr>
              <w:t>how much human judgement stays, and what must be in place</w:t>
            </w:r>
          </w:p>
        </w:tc>
        <w:tc>
          <w:tcPr>
            <w:tcW w:type="dxa" w:w="2550"/>
            <w:shd w:val="clear" w:color="auto" w:fill="12283F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/>
                <w:i w:val="0"/>
                <w:color w:val="FFFFFF"/>
                <w:sz w:val="17"/>
              </w:rPr>
              <w:t>A decided shortlist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CDD6DC"/>
                <w:sz w:val="15"/>
              </w:rPr>
              <w:t>decided in the room, by the people who own the work, against a written test</w:t>
            </w:r>
          </w:p>
        </w:tc>
      </w:tr>
    </w:tbl>
    <w:p>
      <w:pPr>
        <w:spacing w:after="160" w:before="0"/>
      </w:pPr>
      <w:r>
        <w:rPr>
          <w:rFonts w:ascii="Helvetica Neue" w:hAnsi="Helvetica Neue" w:eastAsia="Helvetica Neue"/>
          <w:b w:val="0"/>
          <w:i w:val="0"/>
          <w:color w:val="4C5663"/>
          <w:sz w:val="19"/>
        </w:rPr>
      </w:r>
    </w:p>
    <w:p>
      <w:pPr>
        <w:spacing w:after="40" w:before="0"/>
      </w:pPr>
      <w:r>
        <w:rPr>
          <w:rFonts w:ascii="Helvetica Neue" w:hAnsi="Helvetica Neue" w:eastAsia="Helvetica Neue"/>
          <w:b/>
          <w:i w:val="0"/>
          <w:color w:val="A67C1C"/>
          <w:sz w:val="14"/>
        </w:rPr>
        <w:t>METHOD · 1</w:t>
      </w:r>
    </w:p>
    <w:p>
      <w:pPr>
        <w:spacing w:after="120" w:before="0"/>
      </w:pPr>
      <w:r>
        <w:rPr>
          <w:rFonts w:ascii="Playfair Display" w:hAnsi="Playfair Display" w:eastAsia="Playfair Display"/>
          <w:b w:val="0"/>
          <w:i w:val="0"/>
          <w:color w:val="12283F"/>
          <w:sz w:val="30"/>
        </w:rPr>
        <w:t>Keep human · Augment · Automate</w:t>
      </w:r>
    </w:p>
    <w:p>
      <w:pPr>
        <w:spacing w:after="160" w:before="0"/>
      </w:pPr>
      <w:r>
        <w:rPr>
          <w:rFonts w:ascii="Helvetica Neue" w:hAnsi="Helvetica Neue" w:eastAsia="Helvetica Neue"/>
          <w:b w:val="0"/>
          <w:i w:val="0"/>
          <w:color w:val="4C5663"/>
          <w:sz w:val="19"/>
        </w:rPr>
        <w:t>Every candidate use case is placed on one of three tiers. The question is never 'can AI do this?' — it is 'how much human judgement should stay, and what has to be in place for that to work safely?'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D9D6CE"/>
          <w:left w:val="single" w:sz="4" w:color="D9D6CE"/>
          <w:bottom w:val="single" w:sz="4" w:color="D9D6CE"/>
          <w:right w:val="single" w:sz="4" w:color="D9D6CE"/>
          <w:insideH w:val="single" w:sz="4" w:color="D9D6CE"/>
          <w:insideV w:val="single" w:sz="4" w:color="D9D6CE"/>
        </w:tblBorders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12283F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/>
                <w:i w:val="0"/>
                <w:color w:val="FFFFFF"/>
                <w:sz w:val="16"/>
              </w:rPr>
              <w:t>KEEP HUMAN</w:t>
            </w:r>
          </w:p>
        </w:tc>
        <w:tc>
          <w:tcPr>
            <w:tcW w:type="dxa" w:w="3400"/>
            <w:shd w:val="clear" w:color="auto" w:fill="1A6B70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/>
                <w:i w:val="0"/>
                <w:color w:val="FFFFFF"/>
                <w:sz w:val="16"/>
              </w:rPr>
              <w:t>AUGMENT</w:t>
            </w:r>
          </w:p>
        </w:tc>
        <w:tc>
          <w:tcPr>
            <w:tcW w:type="dxa" w:w="3400"/>
            <w:shd w:val="clear" w:color="auto" w:fill="12283F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/>
                <w:i w:val="0"/>
                <w:color w:val="FFFFFF"/>
                <w:sz w:val="16"/>
              </w:rPr>
              <w:t>AUTOMATE</w:t>
            </w:r>
          </w:p>
        </w:tc>
      </w:tr>
      <w:tr>
        <w:tc>
          <w:tcPr>
            <w:tcW w:type="dxa" w:w="340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 xml:space="preserve">01  </w:t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7"/>
              </w:rPr>
              <w:t>AI not capable yet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6"/>
              </w:rPr>
              <w:t>The task needs judgement, context or trust the tools cannot yet provide reliably. Revisit in twelve months.</w:t>
            </w:r>
          </w:p>
        </w:tc>
        <w:tc>
          <w:tcPr>
            <w:tcW w:type="dxa" w:w="340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 xml:space="preserve">01  </w:t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7"/>
              </w:rPr>
              <w:t>Human in the loop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6"/>
              </w:rPr>
              <w:t>AI drafts, suggests, or scores; a person decides every time. Enablement: good tools, prompts and training — the process itself barely changes.</w:t>
            </w:r>
          </w:p>
        </w:tc>
        <w:tc>
          <w:tcPr>
            <w:tcW w:type="dxa" w:w="340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 xml:space="preserve">01  </w:t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7"/>
              </w:rPr>
              <w:t>Simple tasks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6"/>
              </w:rPr>
              <w:t>Repetitive, low-stakes, well-defined. Minimal change management; quick wins that build confidence.</w:t>
            </w:r>
          </w:p>
        </w:tc>
      </w:tr>
      <w:tr>
        <w:tc>
          <w:tcPr>
            <w:tcW w:type="dxa" w:w="340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 xml:space="preserve">02  </w:t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7"/>
              </w:rPr>
              <w:t>Too high risk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6"/>
              </w:rPr>
              <w:t>Regulatory, safety, reputational or ethical exposure outweighs any gain. A human owns the outcome.</w:t>
            </w:r>
          </w:p>
        </w:tc>
        <w:tc>
          <w:tcPr>
            <w:tcW w:type="dxa" w:w="340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 xml:space="preserve">02  </w:t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7"/>
              </w:rPr>
              <w:t>Human on the loop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6"/>
              </w:rPr>
              <w:t>AI acts within set bounds; a person supervises, samples and intervenes. This needs process redesign: new roles, escalation paths, and clear thresholds.</w:t>
            </w:r>
          </w:p>
        </w:tc>
        <w:tc>
          <w:tcPr>
            <w:tcW w:type="dxa" w:w="340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 xml:space="preserve">02  </w:t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7"/>
              </w:rPr>
              <w:t>High-effort, lower-value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6"/>
              </w:rPr>
              <w:t>Important but tedious work that consumes skilled time. Automate to free people for judgement work.</w:t>
            </w:r>
          </w:p>
        </w:tc>
      </w:tr>
      <w:tr>
        <w:tc>
          <w:tcPr>
            <w:tcW w:type="dxa" w:w="340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 xml:space="preserve">03  </w:t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7"/>
              </w:rPr>
              <w:t>Not worth it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6"/>
              </w:rPr>
              <w:t>AI could do it, but the value is too small to justify the change, the risk, or the attention.</w:t>
            </w:r>
          </w:p>
        </w:tc>
        <w:tc>
          <w:tcPr>
            <w:tcW w:type="dxa" w:w="340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 xml:space="preserve">03  </w:t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7"/>
              </w:rPr>
              <w:t>Human over the loop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6"/>
              </w:rPr>
              <w:t>AI runs the work; a person owns outcomes and direction, not individual cases. This needs governance, monitoring, audit trails, and a defined way to pull the plug.</w:t>
            </w:r>
          </w:p>
        </w:tc>
        <w:tc>
          <w:tcPr>
            <w:tcW w:type="dxa" w:w="340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 xml:space="preserve">03  </w:t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7"/>
              </w:rPr>
              <w:t>High-impact tasks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6"/>
              </w:rPr>
              <w:t>Decisions that move revenue or cost. Requires the most: clean data, integrated systems, risk management, monitoring, and a tested rollback.</w:t>
            </w:r>
          </w:p>
        </w:tc>
      </w:tr>
      <w:tr>
        <w:tc>
          <w:tcPr>
            <w:tcW w:type="dxa" w:w="3400"/>
            <w:shd w:val="clear" w:color="auto" w:fill="F1F0EC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/>
                <w:i w:val="0"/>
                <w:color w:val="1A6B70"/>
                <w:sz w:val="13"/>
              </w:rPr>
              <w:t>NEEDS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5"/>
              </w:rPr>
              <w:t>A named owner, a review date, and a written reason — so 'keep human' is a decision, not a default.</w:t>
            </w:r>
          </w:p>
        </w:tc>
        <w:tc>
          <w:tcPr>
            <w:tcW w:type="dxa" w:w="3400"/>
            <w:shd w:val="clear" w:color="auto" w:fill="F1F0EC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/>
                <w:i w:val="0"/>
                <w:color w:val="1A6B70"/>
                <w:sz w:val="13"/>
              </w:rPr>
              <w:t>NEEDS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5"/>
              </w:rPr>
              <w:t>Role clarity, decision rights, and the training to match — augmentation fails quietly when nobody knows who is accountable.</w:t>
            </w:r>
          </w:p>
        </w:tc>
        <w:tc>
          <w:tcPr>
            <w:tcW w:type="dxa" w:w="3400"/>
            <w:shd w:val="clear" w:color="auto" w:fill="F1F0EC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/>
                <w:i w:val="0"/>
                <w:color w:val="1A6B70"/>
                <w:sz w:val="13"/>
              </w:rPr>
              <w:t>NEEDS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5"/>
              </w:rPr>
              <w:t>Data quality, system integration, monitoring and ownership in place before go-live — not promised for afterwards.</w:t>
            </w:r>
          </w:p>
        </w:tc>
      </w:tr>
    </w:tbl>
    <w:p>
      <w:pPr>
        <w:spacing w:after="120" w:before="0"/>
      </w:pPr>
      <w:r>
        <w:rPr>
          <w:rFonts w:ascii="Helvetica Neue" w:hAnsi="Helvetica Neue" w:eastAsia="Helvetica Neue"/>
          <w:b w:val="0"/>
          <w:i w:val="0"/>
          <w:color w:val="7A8490"/>
          <w:sz w:val="14"/>
        </w:rPr>
        <w:t>◀  more human judgement kept                                                            more infrastructure required  ▶</w:t>
      </w:r>
    </w:p>
    <w:p>
      <w:pPr>
        <w:spacing w:after="240" w:before="0"/>
      </w:pPr>
      <w:r>
        <w:rPr>
          <w:rFonts w:ascii="Helvetica Neue" w:hAnsi="Helvetica Neue" w:eastAsia="Helvetica Neue"/>
          <w:b w:val="0"/>
          <w:i/>
          <w:color w:val="4C5663"/>
          <w:sz w:val="17"/>
        </w:rPr>
        <w:t>For example: promotional uplift forecasting usually lands in Augment, human in the loop. Shelf-gap detection from photos lands in Automate, simple task. Markdown pricing on fresh goods stays Keep human, too high risk — for now.</w:t>
      </w:r>
    </w:p>
    <w:p>
      <w:r>
        <w:br w:type="page"/>
      </w:r>
    </w:p>
    <w:p>
      <w:pPr>
        <w:spacing w:after="40" w:before="0"/>
      </w:pPr>
      <w:r>
        <w:rPr>
          <w:rFonts w:ascii="Helvetica Neue" w:hAnsi="Helvetica Neue" w:eastAsia="Helvetica Neue"/>
          <w:b/>
          <w:i w:val="0"/>
          <w:color w:val="A67C1C"/>
          <w:sz w:val="14"/>
        </w:rPr>
        <w:t>METHOD · 2</w:t>
      </w:r>
    </w:p>
    <w:p>
      <w:pPr>
        <w:spacing w:after="120" w:before="0"/>
      </w:pPr>
      <w:r>
        <w:rPr>
          <w:rFonts w:ascii="Playfair Display" w:hAnsi="Playfair Display" w:eastAsia="Playfair Display"/>
          <w:b w:val="0"/>
          <w:i w:val="0"/>
          <w:color w:val="12283F"/>
          <w:sz w:val="30"/>
        </w:rPr>
        <w:t>AI Readiness &amp; Risk — the Balance Scale</w:t>
      </w:r>
    </w:p>
    <w:p>
      <w:pPr>
        <w:spacing w:after="160" w:before="0"/>
      </w:pPr>
      <w:r>
        <w:rPr>
          <w:rFonts w:ascii="Helvetica Neue" w:hAnsi="Helvetica Neue" w:eastAsia="Helvetica Neue"/>
          <w:b w:val="0"/>
          <w:i w:val="0"/>
          <w:color w:val="4C5663"/>
          <w:sz w:val="19"/>
        </w:rPr>
        <w:t>Use cases only work if the people running them are ready. The Balance Scale gives each person — and the organisation — a reading on one line: from no knowledge, through readiness, to riskiness. It scores a pattern of use, not a person; the same individual can sit in different places for different kinds of work.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D9D6CE"/>
          <w:left w:val="single" w:sz="4" w:color="D9D6CE"/>
          <w:bottom w:val="single" w:sz="4" w:color="D9D6CE"/>
          <w:right w:val="single" w:sz="4" w:color="D9D6CE"/>
          <w:insideH w:val="single" w:sz="4" w:color="D9D6CE"/>
          <w:insideV w:val="single" w:sz="4" w:color="D9D6CE"/>
        </w:tblBorders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7A8490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/>
                <w:i w:val="0"/>
                <w:color w:val="FFFFFF"/>
                <w:sz w:val="16"/>
              </w:rPr>
              <w:t>NO KNOWLEDGE</w:t>
            </w:r>
          </w:p>
        </w:tc>
        <w:tc>
          <w:tcPr>
            <w:tcW w:type="dxa" w:w="3400"/>
            <w:shd w:val="clear" w:color="auto" w:fill="1A6B70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/>
                <w:i w:val="0"/>
                <w:color w:val="FFFFFF"/>
                <w:sz w:val="16"/>
              </w:rPr>
              <w:t>READINESS</w:t>
            </w:r>
          </w:p>
        </w:tc>
        <w:tc>
          <w:tcPr>
            <w:tcW w:type="dxa" w:w="3400"/>
            <w:shd w:val="clear" w:color="auto" w:fill="A67C1C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/>
                <w:i w:val="0"/>
                <w:color w:val="FFFFFF"/>
                <w:sz w:val="16"/>
              </w:rPr>
              <w:t>RISKINESS</w:t>
            </w:r>
          </w:p>
        </w:tc>
      </w:tr>
      <w:tr>
        <w:tc>
          <w:tcPr>
            <w:tcW w:type="dxa" w:w="340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6"/>
              </w:rPr>
              <w:t>Has not used AI meaningfully. Low immediate risk; low immediate value. Starting point is clear.</w:t>
            </w:r>
          </w:p>
        </w:tc>
        <w:tc>
          <w:tcPr>
            <w:tcW w:type="dxa" w:w="340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6"/>
              </w:rPr>
              <w:t>Uses AI as an enabler: checks outputs, knows its limits, keeps ownership of the thinking. The target state.</w:t>
            </w:r>
          </w:p>
        </w:tc>
        <w:tc>
          <w:tcPr>
            <w:tcW w:type="dxa" w:w="340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6"/>
              </w:rPr>
              <w:t>Lets AI do the thinking and acts on it unchecked. A very capable tool in hands that have not learned to doubt it — the highest exposure a company carries, and usually invisible until it isn't.</w:t>
            </w:r>
          </w:p>
        </w:tc>
      </w:tr>
    </w:tbl>
    <w:p>
      <w:pPr>
        <w:spacing w:after="120" w:before="0"/>
      </w:pPr>
      <w:r>
        <w:rPr>
          <w:rFonts w:ascii="Helvetica Neue" w:hAnsi="Helvetica Neue" w:eastAsia="Helvetica Neue"/>
          <w:b w:val="0"/>
          <w:i w:val="0"/>
          <w:color w:val="4C5663"/>
          <w:sz w:val="19"/>
        </w:rPr>
      </w:r>
    </w:p>
    <w:p>
      <w:pPr>
        <w:spacing w:after="40" w:before="0"/>
      </w:pPr>
      <w:r>
        <w:rPr>
          <w:rFonts w:ascii="Helvetica Neue" w:hAnsi="Helvetica Neue" w:eastAsia="Helvetica Neue"/>
          <w:b/>
          <w:i w:val="0"/>
          <w:color w:val="A67C1C"/>
          <w:sz w:val="14"/>
        </w:rPr>
        <w:t>HOW IT IS MEASURED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D9D6CE"/>
          <w:left w:val="single" w:sz="4" w:color="D9D6CE"/>
          <w:bottom w:val="single" w:sz="4" w:color="D9D6CE"/>
          <w:right w:val="single" w:sz="4" w:color="D9D6CE"/>
          <w:insideH w:val="single" w:sz="4" w:color="D9D6CE"/>
          <w:insideV w:val="single" w:sz="4" w:color="D9D6C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>01</w:t>
              <w:br/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6"/>
              </w:rPr>
              <w:t>Self-assessment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5"/>
              </w:rPr>
              <w:t>Where people think they are. Quick, and revealing when compared to the rest.</w:t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>02</w:t>
              <w:br/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6"/>
              </w:rPr>
              <w:t>Quick cases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5"/>
              </w:rPr>
              <w:t>Short, realistic decisions with AI in the mix. Do they check, question, and verify?</w:t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>03</w:t>
              <w:br/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6"/>
              </w:rPr>
              <w:t>Situational tasks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5"/>
              </w:rPr>
              <w:t>What would you do if the model were confident and wrong? Tests judgement under ambiguity.</w:t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>04</w:t>
              <w:br/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6"/>
              </w:rPr>
              <w:t>Behavioural tasks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5"/>
              </w:rPr>
              <w:t>Observed use of real tools on real work. The gap between stated and actual habits.</w:t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5"/>
              </w:rPr>
              <w:t>05</w:t>
              <w:br/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6"/>
              </w:rPr>
              <w:t>Exercises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5"/>
              </w:rPr>
              <w:t>Guided work that both measures and teaches — so the assessment is itself a first step.</w:t>
            </w:r>
          </w:p>
        </w:tc>
      </w:tr>
    </w:tbl>
    <w:p>
      <w:pPr>
        <w:spacing w:after="80" w:before="0"/>
      </w:pPr>
      <w:r>
        <w:rPr>
          <w:rFonts w:ascii="Helvetica Neue" w:hAnsi="Helvetica Neue" w:eastAsia="Helvetica Neue"/>
          <w:b w:val="0"/>
          <w:i w:val="0"/>
          <w:color w:val="4C5663"/>
          <w:sz w:val="19"/>
        </w:rPr>
      </w:r>
    </w:p>
    <w:p>
      <w:pPr>
        <w:spacing w:after="280" w:before="0"/>
      </w:pPr>
      <w:r>
        <w:rPr>
          <w:rFonts w:ascii="Playfair Display" w:hAnsi="Playfair Display" w:eastAsia="Playfair Display"/>
          <w:b w:val="0"/>
          <w:i/>
          <w:color w:val="12283F"/>
          <w:sz w:val="20"/>
        </w:rPr>
        <w:t>The point is not to grade people. It is to know who is ready to be trusted with which tier of use case — and who needs support before they are. Most organisations are surprised by where their readiness actually sits.</w:t>
      </w:r>
    </w:p>
    <w:p>
      <w:pPr>
        <w:spacing w:after="40" w:before="0"/>
      </w:pPr>
      <w:r>
        <w:rPr>
          <w:rFonts w:ascii="Helvetica Neue" w:hAnsi="Helvetica Neue" w:eastAsia="Helvetica Neue"/>
          <w:b/>
          <w:i w:val="0"/>
          <w:color w:val="A67C1C"/>
          <w:sz w:val="14"/>
        </w:rPr>
        <w:t>APPROACH</w:t>
      </w:r>
    </w:p>
    <w:p>
      <w:pPr>
        <w:spacing w:after="120" w:before="0"/>
      </w:pPr>
      <w:r>
        <w:rPr>
          <w:rFonts w:ascii="Playfair Display" w:hAnsi="Playfair Display" w:eastAsia="Playfair Display"/>
          <w:b w:val="0"/>
          <w:i w:val="0"/>
          <w:color w:val="12283F"/>
          <w:sz w:val="30"/>
        </w:rPr>
        <w:t>Discovery, assessment, roadmap.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8"/>
              </w:rPr>
              <w:t xml:space="preserve">01  </w:t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9"/>
              </w:rPr>
              <w:t>Discovery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7"/>
              </w:rPr>
              <w:t>We sit with the teams and capture every candidate use case, then place each one on the matrix.</w:t>
            </w:r>
          </w:p>
        </w:tc>
        <w:tc>
          <w:tcPr>
            <w:tcW w:type="dxa" w:w="3400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8"/>
              </w:rPr>
              <w:t xml:space="preserve">02  </w:t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9"/>
              </w:rPr>
              <w:t>Assessment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7"/>
              </w:rPr>
              <w:t>We read readiness and risk across the people who would run them.</w:t>
            </w:r>
          </w:p>
        </w:tc>
        <w:tc>
          <w:tcPr>
            <w:tcW w:type="dxa" w:w="3400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/>
                <w:color w:val="A67C1C"/>
                <w:sz w:val="18"/>
              </w:rPr>
              <w:t xml:space="preserve">03  </w:t>
            </w:r>
            <w:r>
              <w:rPr>
                <w:rFonts w:ascii="Helvetica Neue Light" w:hAnsi="Helvetica Neue Light" w:eastAsia="Helvetica Neue Light"/>
                <w:b/>
                <w:i w:val="0"/>
                <w:color w:val="12283F"/>
                <w:sz w:val="19"/>
              </w:rPr>
              <w:t>Roadmap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4C5663"/>
                <w:sz w:val="17"/>
              </w:rPr>
              <w:t>You get a ranked shortlist with the reasoning written down — what to do first, and what to leave alone.</w:t>
            </w:r>
          </w:p>
        </w:tc>
      </w:tr>
    </w:tbl>
    <w:p>
      <w:pPr>
        <w:spacing w:after="120" w:before="0"/>
      </w:pPr>
      <w:r>
        <w:rPr>
          <w:rFonts w:ascii="Helvetica Neue" w:hAnsi="Helvetica Neue" w:eastAsia="Helvetica Neue"/>
          <w:b w:val="0"/>
          <w:i w:val="0"/>
          <w:color w:val="4C5663"/>
          <w:sz w:val="19"/>
        </w:rPr>
      </w:r>
    </w:p>
    <w:p>
      <w:pPr>
        <w:spacing w:after="280" w:before="0"/>
      </w:pPr>
      <w:r>
        <w:rPr>
          <w:rFonts w:ascii="Helvetica Neue" w:hAnsi="Helvetica Neue" w:eastAsia="Helvetica Neue"/>
          <w:b w:val="0"/>
          <w:i w:val="0"/>
          <w:color w:val="4C5663"/>
          <w:sz w:val="19"/>
        </w:rPr>
        <w:t>Typically a few weeks and a handful of working sessions with the teams who own the work. Scope follows the size of the organisation; we agree it together.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12283F"/>
          </w:tcPr>
          <w:p>
            <w:pPr>
              <w:spacing w:after="40"/>
            </w:pPr>
            <w:r/>
            <w:r>
              <w:rPr>
                <w:rFonts w:ascii="Playfair Display" w:hAnsi="Playfair Display" w:eastAsia="Playfair Display"/>
                <w:b w:val="0"/>
                <w:i w:val="0"/>
                <w:color w:val="FFFFFF"/>
                <w:sz w:val="22"/>
              </w:rPr>
              <w:t>Rihards Garančs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CDD6DC"/>
                <w:sz w:val="16"/>
              </w:rPr>
              <w:t>Founder &amp; strategy consultant, Data Lab SIA · Strategic Advisor, SSE Riga Executive Education</w:t>
              <w:br/>
            </w:r>
            <w:r>
              <w:rPr>
                <w:rFonts w:ascii="Helvetica Neue Light" w:hAnsi="Helvetica Neue Light" w:eastAsia="Helvetica Neue Light"/>
                <w:b w:val="0"/>
                <w:i w:val="0"/>
                <w:color w:val="9FD0C8"/>
                <w:sz w:val="16"/>
              </w:rPr>
              <w:t>rihards.garancs@gmail.com  ·  rihardsgarancs.com/company  ·  Riga, Latvia</w:t>
            </w:r>
          </w:p>
        </w:tc>
      </w:tr>
    </w:tbl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Helvetica Neue Light" w:hAnsi="Helvetica Neue Light" w:eastAsia="Helvetica Neue Light"/>
      <w:color w:val="4C566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